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31BC" w14:textId="77777777" w:rsidR="002D113A" w:rsidRPr="00DA185E" w:rsidRDefault="002D113A" w:rsidP="00102EB1">
      <w:pPr>
        <w:jc w:val="center"/>
        <w:rPr>
          <w:rFonts w:cstheme="minorHAnsi"/>
          <w:b/>
        </w:rPr>
      </w:pPr>
      <w:bookmarkStart w:id="0" w:name="_GoBack"/>
      <w:bookmarkEnd w:id="0"/>
      <w:r w:rsidRPr="00DA185E">
        <w:rPr>
          <w:rFonts w:cstheme="minorHAnsi"/>
          <w:b/>
        </w:rPr>
        <w:t>Wheelsure Holdings plc</w:t>
      </w:r>
    </w:p>
    <w:p w14:paraId="2218EE90" w14:textId="77777777" w:rsidR="00E37342" w:rsidRPr="00DA185E" w:rsidRDefault="00E37342" w:rsidP="00102EB1">
      <w:pPr>
        <w:jc w:val="center"/>
        <w:rPr>
          <w:rFonts w:cstheme="minorHAnsi"/>
          <w:b/>
        </w:rPr>
      </w:pPr>
      <w:r w:rsidRPr="00DA185E">
        <w:rPr>
          <w:rFonts w:cstheme="minorHAnsi"/>
          <w:b/>
        </w:rPr>
        <w:t>(“Wheelsure” or the “Company”)</w:t>
      </w:r>
    </w:p>
    <w:p w14:paraId="3184C80E" w14:textId="34A1DDEB" w:rsidR="002D113A" w:rsidRPr="00DA185E" w:rsidRDefault="00332012" w:rsidP="00102EB1">
      <w:pPr>
        <w:jc w:val="center"/>
        <w:rPr>
          <w:rFonts w:cstheme="minorHAnsi"/>
          <w:b/>
        </w:rPr>
      </w:pPr>
      <w:r w:rsidRPr="00DA185E">
        <w:rPr>
          <w:rFonts w:cstheme="minorHAnsi"/>
          <w:b/>
        </w:rPr>
        <w:t>Statement re Delay in accounts</w:t>
      </w:r>
    </w:p>
    <w:p w14:paraId="4DFB8E56" w14:textId="77777777" w:rsidR="002D113A" w:rsidRPr="00DA185E" w:rsidRDefault="002D113A">
      <w:pPr>
        <w:rPr>
          <w:rFonts w:cstheme="minorHAnsi"/>
        </w:rPr>
      </w:pPr>
    </w:p>
    <w:p w14:paraId="2B5FAC53" w14:textId="3125431F" w:rsidR="002D113A" w:rsidRPr="00DA185E" w:rsidRDefault="00882CF5" w:rsidP="00275E67">
      <w:pPr>
        <w:jc w:val="both"/>
        <w:rPr>
          <w:rFonts w:cstheme="minorHAnsi"/>
          <w:b/>
        </w:rPr>
      </w:pPr>
      <w:r w:rsidRPr="00DA185E">
        <w:rPr>
          <w:rFonts w:cstheme="minorHAnsi"/>
          <w:b/>
        </w:rPr>
        <w:t>Delay in accounts</w:t>
      </w:r>
    </w:p>
    <w:p w14:paraId="545A8E42" w14:textId="77777777" w:rsidR="00431E0F" w:rsidRPr="00DA185E" w:rsidRDefault="001E0FFD" w:rsidP="00275E67">
      <w:pPr>
        <w:jc w:val="both"/>
        <w:rPr>
          <w:rFonts w:cstheme="minorHAnsi"/>
        </w:rPr>
      </w:pPr>
      <w:r w:rsidRPr="00DA185E">
        <w:rPr>
          <w:rFonts w:cstheme="minorHAnsi"/>
        </w:rPr>
        <w:t xml:space="preserve">Wheelsure (NEX: WHLP) announces that due to delays in producing its accounts, it has become apparent that the Company will not be in a position to publish its own audited report and accounts for the year ended 31 August 2019 by 29 February 2020 in accordance with rule 44 and 45 of the NEX Rules for Companies. As a result, the Company's shares will be suspended from trading on NEX Growth Market as of 7:30 a.m. on </w:t>
      </w:r>
      <w:r w:rsidR="00431E0F" w:rsidRPr="00DA185E">
        <w:rPr>
          <w:rFonts w:cstheme="minorHAnsi"/>
        </w:rPr>
        <w:t>2</w:t>
      </w:r>
      <w:r w:rsidRPr="00DA185E">
        <w:rPr>
          <w:rFonts w:cstheme="minorHAnsi"/>
        </w:rPr>
        <w:t xml:space="preserve"> </w:t>
      </w:r>
      <w:r w:rsidR="00431E0F" w:rsidRPr="00DA185E">
        <w:rPr>
          <w:rFonts w:cstheme="minorHAnsi"/>
        </w:rPr>
        <w:t xml:space="preserve">March </w:t>
      </w:r>
      <w:r w:rsidRPr="00DA185E">
        <w:rPr>
          <w:rFonts w:cstheme="minorHAnsi"/>
        </w:rPr>
        <w:t>20</w:t>
      </w:r>
      <w:r w:rsidR="00431E0F" w:rsidRPr="00DA185E">
        <w:rPr>
          <w:rFonts w:cstheme="minorHAnsi"/>
        </w:rPr>
        <w:t>20</w:t>
      </w:r>
      <w:r w:rsidRPr="00DA185E">
        <w:rPr>
          <w:rFonts w:cstheme="minorHAnsi"/>
        </w:rPr>
        <w:t>. The suspension will remain in place until the Company's audited report and accounts for the year ended 31 August 201</w:t>
      </w:r>
      <w:r w:rsidR="00431E0F" w:rsidRPr="00DA185E">
        <w:rPr>
          <w:rFonts w:cstheme="minorHAnsi"/>
        </w:rPr>
        <w:t>9</w:t>
      </w:r>
      <w:r w:rsidRPr="00DA185E">
        <w:rPr>
          <w:rFonts w:cstheme="minorHAnsi"/>
        </w:rPr>
        <w:t xml:space="preserve"> have been published. </w:t>
      </w:r>
    </w:p>
    <w:p w14:paraId="3CA68288" w14:textId="50F81EDB" w:rsidR="00102EB1" w:rsidRPr="00DA185E" w:rsidRDefault="001E0FFD" w:rsidP="00275E67">
      <w:pPr>
        <w:jc w:val="both"/>
        <w:rPr>
          <w:rFonts w:cstheme="minorHAnsi"/>
        </w:rPr>
      </w:pPr>
      <w:r w:rsidRPr="00DA185E">
        <w:rPr>
          <w:rFonts w:cstheme="minorHAnsi"/>
        </w:rPr>
        <w:t>The Company will update the market in due course.</w:t>
      </w:r>
    </w:p>
    <w:p w14:paraId="59C488A1" w14:textId="37AA4923" w:rsidR="00C44D49" w:rsidRPr="00DA185E" w:rsidRDefault="00C44D49" w:rsidP="00275E67">
      <w:pPr>
        <w:jc w:val="both"/>
        <w:rPr>
          <w:rFonts w:cstheme="minorHAnsi"/>
        </w:rPr>
      </w:pPr>
      <w:r w:rsidRPr="00DA185E">
        <w:rPr>
          <w:rFonts w:cstheme="minorHAnsi"/>
        </w:rPr>
        <w:t>The directors of Wheelsure Holdings plc accept responsibility for the contents of this announcement.</w:t>
      </w:r>
    </w:p>
    <w:p w14:paraId="5AEA6403" w14:textId="77777777" w:rsidR="00BD63D4" w:rsidRPr="00DA185E" w:rsidRDefault="00BD63D4" w:rsidP="00BD63D4">
      <w:pPr>
        <w:rPr>
          <w:rFonts w:cstheme="minorHAnsi"/>
          <w:b/>
          <w:color w:val="000000" w:themeColor="text1"/>
        </w:rPr>
      </w:pPr>
      <w:r w:rsidRPr="00DA185E">
        <w:rPr>
          <w:rFonts w:cstheme="minorHAnsi"/>
          <w:b/>
          <w:color w:val="000000" w:themeColor="text1"/>
        </w:rPr>
        <w:t>Enquiries</w:t>
      </w:r>
    </w:p>
    <w:tbl>
      <w:tblPr>
        <w:tblW w:w="9300" w:type="dxa"/>
        <w:tblCellSpacing w:w="0" w:type="dxa"/>
        <w:tblLook w:val="04A0" w:firstRow="1" w:lastRow="0" w:firstColumn="1" w:lastColumn="0" w:noHBand="0" w:noVBand="1"/>
      </w:tblPr>
      <w:tblGrid>
        <w:gridCol w:w="5941"/>
        <w:gridCol w:w="187"/>
        <w:gridCol w:w="3172"/>
      </w:tblGrid>
      <w:tr w:rsidR="00BD63D4" w:rsidRPr="009E66F8" w14:paraId="69CBC135" w14:textId="77777777" w:rsidTr="007533FC">
        <w:trPr>
          <w:tblCellSpacing w:w="0" w:type="dxa"/>
        </w:trPr>
        <w:tc>
          <w:tcPr>
            <w:tcW w:w="0" w:type="auto"/>
            <w:tcMar>
              <w:top w:w="15" w:type="dxa"/>
              <w:left w:w="15" w:type="dxa"/>
              <w:bottom w:w="15" w:type="dxa"/>
              <w:right w:w="15" w:type="dxa"/>
            </w:tcMar>
            <w:vAlign w:val="center"/>
            <w:hideMark/>
          </w:tcPr>
          <w:p w14:paraId="6D0BA14D" w14:textId="77777777" w:rsidR="00BD63D4" w:rsidRPr="009E66F8" w:rsidRDefault="00BD63D4" w:rsidP="007533FC">
            <w:pPr>
              <w:spacing w:after="0" w:line="240" w:lineRule="auto"/>
              <w:contextualSpacing/>
              <w:jc w:val="both"/>
              <w:rPr>
                <w:rFonts w:eastAsia="Times New Roman" w:cstheme="minorHAnsi"/>
                <w:color w:val="000000" w:themeColor="text1"/>
                <w:lang w:eastAsia="en-GB"/>
              </w:rPr>
            </w:pPr>
            <w:r w:rsidRPr="009E66F8">
              <w:rPr>
                <w:rFonts w:eastAsia="Times New Roman" w:cstheme="minorHAnsi"/>
                <w:b/>
                <w:bCs/>
                <w:color w:val="000000" w:themeColor="text1"/>
                <w:lang w:eastAsia="en-GB"/>
              </w:rPr>
              <w:t>Wheelsure Holdings plc</w:t>
            </w:r>
          </w:p>
        </w:tc>
        <w:tc>
          <w:tcPr>
            <w:tcW w:w="0" w:type="auto"/>
            <w:tcMar>
              <w:top w:w="15" w:type="dxa"/>
              <w:left w:w="15" w:type="dxa"/>
              <w:bottom w:w="15" w:type="dxa"/>
              <w:right w:w="15" w:type="dxa"/>
            </w:tcMar>
            <w:vAlign w:val="center"/>
            <w:hideMark/>
          </w:tcPr>
          <w:p w14:paraId="7237FB7C" w14:textId="77777777" w:rsidR="00BD63D4" w:rsidRPr="009E66F8" w:rsidRDefault="00BD63D4" w:rsidP="007533FC">
            <w:pPr>
              <w:spacing w:after="0" w:line="240" w:lineRule="auto"/>
              <w:contextualSpacing/>
              <w:jc w:val="both"/>
              <w:rPr>
                <w:rFonts w:eastAsia="Times New Roman" w:cstheme="minorHAnsi"/>
                <w:color w:val="000000" w:themeColor="text1"/>
                <w:lang w:eastAsia="en-GB"/>
              </w:rPr>
            </w:pPr>
            <w:r w:rsidRPr="009E66F8">
              <w:rPr>
                <w:rFonts w:eastAsia="Times New Roman" w:cstheme="minorHAnsi"/>
                <w:color w:val="000000" w:themeColor="text1"/>
                <w:lang w:eastAsia="en-GB"/>
              </w:rPr>
              <w:t> </w:t>
            </w:r>
          </w:p>
        </w:tc>
        <w:tc>
          <w:tcPr>
            <w:tcW w:w="0" w:type="auto"/>
            <w:tcMar>
              <w:top w:w="15" w:type="dxa"/>
              <w:left w:w="15" w:type="dxa"/>
              <w:bottom w:w="15" w:type="dxa"/>
              <w:right w:w="15" w:type="dxa"/>
            </w:tcMar>
            <w:vAlign w:val="center"/>
            <w:hideMark/>
          </w:tcPr>
          <w:p w14:paraId="68B7AF44" w14:textId="77777777" w:rsidR="00BD63D4" w:rsidRPr="009E66F8" w:rsidRDefault="00BD63D4" w:rsidP="007533FC">
            <w:pPr>
              <w:spacing w:after="0" w:line="240" w:lineRule="auto"/>
              <w:contextualSpacing/>
              <w:jc w:val="both"/>
              <w:rPr>
                <w:rFonts w:eastAsia="Times New Roman" w:cstheme="minorHAnsi"/>
                <w:color w:val="000000" w:themeColor="text1"/>
                <w:lang w:eastAsia="en-GB"/>
              </w:rPr>
            </w:pPr>
            <w:r w:rsidRPr="009E66F8">
              <w:rPr>
                <w:rFonts w:eastAsia="Times New Roman" w:cstheme="minorHAnsi"/>
                <w:color w:val="000000" w:themeColor="text1"/>
                <w:lang w:eastAsia="en-GB"/>
              </w:rPr>
              <w:t>01525 840 557</w:t>
            </w:r>
          </w:p>
        </w:tc>
      </w:tr>
      <w:tr w:rsidR="00BD63D4" w:rsidRPr="009E66F8" w14:paraId="3DE34DD2" w14:textId="77777777" w:rsidTr="007533FC">
        <w:trPr>
          <w:tblCellSpacing w:w="0" w:type="dxa"/>
        </w:trPr>
        <w:tc>
          <w:tcPr>
            <w:tcW w:w="0" w:type="auto"/>
            <w:tcMar>
              <w:top w:w="15" w:type="dxa"/>
              <w:left w:w="15" w:type="dxa"/>
              <w:bottom w:w="15" w:type="dxa"/>
              <w:right w:w="15" w:type="dxa"/>
            </w:tcMar>
            <w:vAlign w:val="center"/>
            <w:hideMark/>
          </w:tcPr>
          <w:p w14:paraId="48BFF19C" w14:textId="77777777" w:rsidR="00BD63D4" w:rsidRPr="009E66F8" w:rsidRDefault="00BD63D4" w:rsidP="007533FC">
            <w:pPr>
              <w:spacing w:after="0" w:line="240" w:lineRule="auto"/>
              <w:contextualSpacing/>
              <w:jc w:val="both"/>
              <w:rPr>
                <w:rFonts w:eastAsia="Times New Roman" w:cstheme="minorHAnsi"/>
                <w:color w:val="000000" w:themeColor="text1"/>
                <w:lang w:eastAsia="en-GB"/>
              </w:rPr>
            </w:pPr>
            <w:r w:rsidRPr="009E66F8">
              <w:rPr>
                <w:rFonts w:eastAsia="Times New Roman" w:cstheme="minorHAnsi"/>
                <w:color w:val="000000" w:themeColor="text1"/>
                <w:lang w:eastAsia="en-GB"/>
              </w:rPr>
              <w:t>Gerhard Dodl, CEO</w:t>
            </w:r>
          </w:p>
        </w:tc>
        <w:tc>
          <w:tcPr>
            <w:tcW w:w="0" w:type="auto"/>
            <w:tcMar>
              <w:top w:w="15" w:type="dxa"/>
              <w:left w:w="15" w:type="dxa"/>
              <w:bottom w:w="15" w:type="dxa"/>
              <w:right w:w="15" w:type="dxa"/>
            </w:tcMar>
            <w:vAlign w:val="center"/>
            <w:hideMark/>
          </w:tcPr>
          <w:p w14:paraId="06A4C1F8" w14:textId="77777777" w:rsidR="00BD63D4" w:rsidRPr="009E66F8" w:rsidRDefault="00BD63D4" w:rsidP="007533FC">
            <w:pPr>
              <w:rPr>
                <w:rFonts w:eastAsia="Times New Roman" w:cstheme="minorHAnsi"/>
                <w:color w:val="000000" w:themeColor="text1"/>
                <w:lang w:eastAsia="en-GB"/>
              </w:rPr>
            </w:pPr>
          </w:p>
        </w:tc>
        <w:tc>
          <w:tcPr>
            <w:tcW w:w="0" w:type="auto"/>
            <w:tcMar>
              <w:top w:w="15" w:type="dxa"/>
              <w:left w:w="15" w:type="dxa"/>
              <w:bottom w:w="15" w:type="dxa"/>
              <w:right w:w="15" w:type="dxa"/>
            </w:tcMar>
            <w:vAlign w:val="center"/>
            <w:hideMark/>
          </w:tcPr>
          <w:p w14:paraId="79B207D4" w14:textId="77777777" w:rsidR="00BD63D4" w:rsidRPr="009E66F8" w:rsidRDefault="00BD63D4" w:rsidP="007533FC">
            <w:pPr>
              <w:spacing w:after="0"/>
              <w:rPr>
                <w:rFonts w:cstheme="minorHAnsi"/>
                <w:color w:val="000000" w:themeColor="text1"/>
                <w:lang w:eastAsia="en-GB"/>
              </w:rPr>
            </w:pPr>
          </w:p>
        </w:tc>
      </w:tr>
      <w:tr w:rsidR="00736180" w:rsidRPr="009E66F8" w14:paraId="28266218" w14:textId="77777777" w:rsidTr="007533FC">
        <w:trPr>
          <w:tblCellSpacing w:w="0" w:type="dxa"/>
        </w:trPr>
        <w:tc>
          <w:tcPr>
            <w:tcW w:w="0" w:type="auto"/>
            <w:tcMar>
              <w:top w:w="15" w:type="dxa"/>
              <w:left w:w="15" w:type="dxa"/>
              <w:bottom w:w="15" w:type="dxa"/>
              <w:right w:w="15" w:type="dxa"/>
            </w:tcMar>
            <w:vAlign w:val="center"/>
          </w:tcPr>
          <w:p w14:paraId="6837228A" w14:textId="77777777" w:rsidR="00736180" w:rsidRPr="009E66F8" w:rsidRDefault="00736180" w:rsidP="007533FC">
            <w:pPr>
              <w:spacing w:after="0" w:line="240" w:lineRule="auto"/>
              <w:contextualSpacing/>
              <w:jc w:val="both"/>
              <w:rPr>
                <w:rFonts w:eastAsia="Times New Roman" w:cstheme="minorHAnsi"/>
                <w:color w:val="000000" w:themeColor="text1"/>
                <w:lang w:eastAsia="en-GB"/>
              </w:rPr>
            </w:pPr>
          </w:p>
        </w:tc>
        <w:tc>
          <w:tcPr>
            <w:tcW w:w="0" w:type="auto"/>
            <w:tcMar>
              <w:top w:w="15" w:type="dxa"/>
              <w:left w:w="15" w:type="dxa"/>
              <w:bottom w:w="15" w:type="dxa"/>
              <w:right w:w="15" w:type="dxa"/>
            </w:tcMar>
            <w:vAlign w:val="center"/>
          </w:tcPr>
          <w:p w14:paraId="2634F6BB" w14:textId="77777777" w:rsidR="00736180" w:rsidRPr="009E66F8" w:rsidRDefault="00736180" w:rsidP="007533FC">
            <w:pPr>
              <w:rPr>
                <w:rFonts w:eastAsia="Times New Roman" w:cstheme="minorHAnsi"/>
                <w:color w:val="000000" w:themeColor="text1"/>
                <w:lang w:eastAsia="en-GB"/>
              </w:rPr>
            </w:pPr>
          </w:p>
        </w:tc>
        <w:tc>
          <w:tcPr>
            <w:tcW w:w="0" w:type="auto"/>
            <w:tcMar>
              <w:top w:w="15" w:type="dxa"/>
              <w:left w:w="15" w:type="dxa"/>
              <w:bottom w:w="15" w:type="dxa"/>
              <w:right w:w="15" w:type="dxa"/>
            </w:tcMar>
            <w:vAlign w:val="center"/>
          </w:tcPr>
          <w:p w14:paraId="58EA1B4E" w14:textId="77777777" w:rsidR="00736180" w:rsidRPr="009E66F8" w:rsidRDefault="00736180" w:rsidP="007533FC">
            <w:pPr>
              <w:spacing w:after="0"/>
              <w:rPr>
                <w:rFonts w:cstheme="minorHAnsi"/>
                <w:color w:val="000000" w:themeColor="text1"/>
                <w:lang w:eastAsia="en-GB"/>
              </w:rPr>
            </w:pPr>
          </w:p>
        </w:tc>
      </w:tr>
      <w:tr w:rsidR="00BD63D4" w:rsidRPr="009E66F8" w14:paraId="2E60B8D0" w14:textId="77777777" w:rsidTr="007533FC">
        <w:trPr>
          <w:tblCellSpacing w:w="0" w:type="dxa"/>
        </w:trPr>
        <w:tc>
          <w:tcPr>
            <w:tcW w:w="0" w:type="auto"/>
            <w:tcMar>
              <w:top w:w="15" w:type="dxa"/>
              <w:left w:w="15" w:type="dxa"/>
              <w:bottom w:w="15" w:type="dxa"/>
              <w:right w:w="15" w:type="dxa"/>
            </w:tcMar>
            <w:vAlign w:val="center"/>
            <w:hideMark/>
          </w:tcPr>
          <w:p w14:paraId="542D4A3A" w14:textId="77777777" w:rsidR="00BD63D4" w:rsidRPr="009E66F8" w:rsidRDefault="00BD63D4" w:rsidP="007533FC">
            <w:pPr>
              <w:spacing w:after="0" w:line="240" w:lineRule="auto"/>
              <w:contextualSpacing/>
              <w:jc w:val="both"/>
              <w:rPr>
                <w:rFonts w:eastAsia="Times New Roman" w:cstheme="minorHAnsi"/>
                <w:color w:val="000000" w:themeColor="text1"/>
                <w:lang w:eastAsia="en-GB"/>
              </w:rPr>
            </w:pPr>
            <w:r w:rsidRPr="009E66F8">
              <w:rPr>
                <w:rFonts w:eastAsia="Times New Roman" w:cstheme="minorHAnsi"/>
                <w:b/>
                <w:bCs/>
                <w:color w:val="000000" w:themeColor="text1"/>
                <w:lang w:eastAsia="en-GB"/>
              </w:rPr>
              <w:t>Cairn Financial Advisers LLP</w:t>
            </w:r>
          </w:p>
        </w:tc>
        <w:tc>
          <w:tcPr>
            <w:tcW w:w="0" w:type="auto"/>
            <w:tcMar>
              <w:top w:w="15" w:type="dxa"/>
              <w:left w:w="15" w:type="dxa"/>
              <w:bottom w:w="15" w:type="dxa"/>
              <w:right w:w="15" w:type="dxa"/>
            </w:tcMar>
            <w:vAlign w:val="center"/>
            <w:hideMark/>
          </w:tcPr>
          <w:p w14:paraId="68858436" w14:textId="77777777" w:rsidR="00BD63D4" w:rsidRPr="009E66F8" w:rsidRDefault="00BD63D4" w:rsidP="007533FC">
            <w:pPr>
              <w:rPr>
                <w:rFonts w:eastAsia="Times New Roman" w:cstheme="minorHAnsi"/>
                <w:color w:val="000000" w:themeColor="text1"/>
                <w:lang w:eastAsia="en-GB"/>
              </w:rPr>
            </w:pPr>
          </w:p>
        </w:tc>
        <w:tc>
          <w:tcPr>
            <w:tcW w:w="0" w:type="auto"/>
            <w:tcMar>
              <w:top w:w="15" w:type="dxa"/>
              <w:left w:w="15" w:type="dxa"/>
              <w:bottom w:w="15" w:type="dxa"/>
              <w:right w:w="15" w:type="dxa"/>
            </w:tcMar>
            <w:vAlign w:val="center"/>
            <w:hideMark/>
          </w:tcPr>
          <w:p w14:paraId="652DF018" w14:textId="4E91D1AE" w:rsidR="00BD63D4" w:rsidRPr="009E66F8" w:rsidRDefault="00BD63D4" w:rsidP="007533FC">
            <w:pPr>
              <w:spacing w:after="0" w:line="240" w:lineRule="auto"/>
              <w:contextualSpacing/>
              <w:jc w:val="both"/>
              <w:rPr>
                <w:rFonts w:eastAsia="Times New Roman" w:cstheme="minorHAnsi"/>
                <w:color w:val="000000" w:themeColor="text1"/>
                <w:lang w:eastAsia="en-GB"/>
              </w:rPr>
            </w:pPr>
            <w:r w:rsidRPr="009E66F8">
              <w:rPr>
                <w:rFonts w:eastAsia="Times New Roman" w:cstheme="minorHAnsi"/>
                <w:color w:val="000000" w:themeColor="text1"/>
                <w:lang w:eastAsia="en-GB"/>
              </w:rPr>
              <w:t>020 7213 088</w:t>
            </w:r>
            <w:r w:rsidR="00B141D6">
              <w:rPr>
                <w:rFonts w:eastAsia="Times New Roman" w:cstheme="minorHAnsi"/>
                <w:color w:val="000000" w:themeColor="text1"/>
                <w:lang w:eastAsia="en-GB"/>
              </w:rPr>
              <w:t>0</w:t>
            </w:r>
          </w:p>
        </w:tc>
      </w:tr>
      <w:tr w:rsidR="00BD63D4" w:rsidRPr="009E66F8" w14:paraId="109A6B0A" w14:textId="77777777" w:rsidTr="007533FC">
        <w:trPr>
          <w:tblCellSpacing w:w="0" w:type="dxa"/>
        </w:trPr>
        <w:tc>
          <w:tcPr>
            <w:tcW w:w="0" w:type="auto"/>
            <w:tcMar>
              <w:top w:w="15" w:type="dxa"/>
              <w:left w:w="15" w:type="dxa"/>
              <w:bottom w:w="15" w:type="dxa"/>
              <w:right w:w="15" w:type="dxa"/>
            </w:tcMar>
            <w:vAlign w:val="center"/>
            <w:hideMark/>
          </w:tcPr>
          <w:p w14:paraId="5C5C8833" w14:textId="2F9BF297" w:rsidR="00BD63D4" w:rsidRDefault="00BD63D4" w:rsidP="007533FC">
            <w:pPr>
              <w:spacing w:after="0" w:line="240" w:lineRule="auto"/>
              <w:contextualSpacing/>
              <w:jc w:val="both"/>
              <w:rPr>
                <w:rFonts w:eastAsia="Times New Roman" w:cstheme="minorHAnsi"/>
                <w:color w:val="000000" w:themeColor="text1"/>
                <w:lang w:eastAsia="en-GB"/>
              </w:rPr>
            </w:pPr>
            <w:r w:rsidRPr="009E66F8">
              <w:rPr>
                <w:rFonts w:eastAsia="Times New Roman" w:cstheme="minorHAnsi"/>
                <w:color w:val="000000" w:themeColor="text1"/>
                <w:lang w:eastAsia="en-GB"/>
              </w:rPr>
              <w:t>Tony Rawlinson</w:t>
            </w:r>
          </w:p>
          <w:p w14:paraId="0CB662D3" w14:textId="3531C00A" w:rsidR="00B141D6" w:rsidRPr="009E66F8" w:rsidRDefault="00B141D6" w:rsidP="007533FC">
            <w:pPr>
              <w:spacing w:after="0" w:line="240" w:lineRule="auto"/>
              <w:contextualSpacing/>
              <w:jc w:val="both"/>
              <w:rPr>
                <w:rFonts w:eastAsia="Times New Roman" w:cstheme="minorHAnsi"/>
                <w:color w:val="000000" w:themeColor="text1"/>
                <w:lang w:eastAsia="en-GB"/>
              </w:rPr>
            </w:pPr>
            <w:r>
              <w:rPr>
                <w:rFonts w:eastAsia="Times New Roman" w:cstheme="minorHAnsi"/>
                <w:color w:val="000000" w:themeColor="text1"/>
                <w:lang w:eastAsia="en-GB"/>
              </w:rPr>
              <w:t>Liam Murray</w:t>
            </w:r>
          </w:p>
          <w:p w14:paraId="4F9ED336" w14:textId="4A8BB3F7" w:rsidR="00763CA7" w:rsidRPr="009E66F8" w:rsidRDefault="00763CA7" w:rsidP="007533FC">
            <w:pPr>
              <w:spacing w:after="0" w:line="240" w:lineRule="auto"/>
              <w:contextualSpacing/>
              <w:jc w:val="both"/>
              <w:rPr>
                <w:rFonts w:eastAsia="Times New Roman" w:cstheme="minorHAnsi"/>
                <w:color w:val="000000" w:themeColor="text1"/>
                <w:lang w:eastAsia="en-GB"/>
              </w:rPr>
            </w:pPr>
          </w:p>
        </w:tc>
        <w:tc>
          <w:tcPr>
            <w:tcW w:w="0" w:type="auto"/>
            <w:tcMar>
              <w:top w:w="15" w:type="dxa"/>
              <w:left w:w="15" w:type="dxa"/>
              <w:bottom w:w="15" w:type="dxa"/>
              <w:right w:w="15" w:type="dxa"/>
            </w:tcMar>
            <w:vAlign w:val="center"/>
            <w:hideMark/>
          </w:tcPr>
          <w:p w14:paraId="1B199BAE" w14:textId="77777777" w:rsidR="00BD63D4" w:rsidRPr="009E66F8" w:rsidRDefault="00BD63D4" w:rsidP="007533FC">
            <w:pPr>
              <w:rPr>
                <w:rFonts w:eastAsia="Times New Roman" w:cstheme="minorHAnsi"/>
                <w:color w:val="000000" w:themeColor="text1"/>
                <w:lang w:eastAsia="en-GB"/>
              </w:rPr>
            </w:pPr>
          </w:p>
        </w:tc>
        <w:tc>
          <w:tcPr>
            <w:tcW w:w="0" w:type="auto"/>
            <w:tcMar>
              <w:top w:w="15" w:type="dxa"/>
              <w:left w:w="15" w:type="dxa"/>
              <w:bottom w:w="15" w:type="dxa"/>
              <w:right w:w="15" w:type="dxa"/>
            </w:tcMar>
            <w:vAlign w:val="center"/>
            <w:hideMark/>
          </w:tcPr>
          <w:p w14:paraId="40762C9D" w14:textId="77777777" w:rsidR="00BD63D4" w:rsidRPr="009E66F8" w:rsidRDefault="00BD63D4" w:rsidP="007533FC">
            <w:pPr>
              <w:spacing w:after="0"/>
              <w:rPr>
                <w:rFonts w:cstheme="minorHAnsi"/>
                <w:color w:val="000000" w:themeColor="text1"/>
                <w:lang w:eastAsia="en-GB"/>
              </w:rPr>
            </w:pPr>
          </w:p>
        </w:tc>
      </w:tr>
      <w:tr w:rsidR="00BD63D4" w:rsidRPr="009E66F8" w14:paraId="3A774250" w14:textId="77777777" w:rsidTr="007533FC">
        <w:trPr>
          <w:tblCellSpacing w:w="0" w:type="dxa"/>
        </w:trPr>
        <w:tc>
          <w:tcPr>
            <w:tcW w:w="0" w:type="auto"/>
            <w:tcMar>
              <w:top w:w="15" w:type="dxa"/>
              <w:left w:w="15" w:type="dxa"/>
              <w:bottom w:w="15" w:type="dxa"/>
              <w:right w:w="15" w:type="dxa"/>
            </w:tcMar>
            <w:vAlign w:val="center"/>
            <w:hideMark/>
          </w:tcPr>
          <w:p w14:paraId="0F09169C" w14:textId="77777777" w:rsidR="00BD63D4" w:rsidRPr="009E66F8" w:rsidRDefault="00BD63D4" w:rsidP="007533FC">
            <w:pPr>
              <w:spacing w:after="0" w:line="240" w:lineRule="auto"/>
              <w:contextualSpacing/>
              <w:jc w:val="both"/>
              <w:rPr>
                <w:rFonts w:eastAsia="Times New Roman" w:cstheme="minorHAnsi"/>
                <w:color w:val="000000" w:themeColor="text1"/>
                <w:lang w:eastAsia="en-GB"/>
              </w:rPr>
            </w:pPr>
          </w:p>
        </w:tc>
        <w:tc>
          <w:tcPr>
            <w:tcW w:w="0" w:type="auto"/>
            <w:tcMar>
              <w:top w:w="15" w:type="dxa"/>
              <w:left w:w="15" w:type="dxa"/>
              <w:bottom w:w="15" w:type="dxa"/>
              <w:right w:w="15" w:type="dxa"/>
            </w:tcMar>
            <w:vAlign w:val="center"/>
            <w:hideMark/>
          </w:tcPr>
          <w:p w14:paraId="6AB50615" w14:textId="77777777" w:rsidR="00BD63D4" w:rsidRPr="009E66F8" w:rsidRDefault="00BD63D4" w:rsidP="007533FC">
            <w:pPr>
              <w:rPr>
                <w:rFonts w:eastAsia="Times New Roman" w:cstheme="minorHAnsi"/>
                <w:color w:val="000000" w:themeColor="text1"/>
                <w:lang w:eastAsia="en-GB"/>
              </w:rPr>
            </w:pPr>
          </w:p>
        </w:tc>
        <w:tc>
          <w:tcPr>
            <w:tcW w:w="0" w:type="auto"/>
            <w:tcMar>
              <w:top w:w="15" w:type="dxa"/>
              <w:left w:w="15" w:type="dxa"/>
              <w:bottom w:w="15" w:type="dxa"/>
              <w:right w:w="15" w:type="dxa"/>
            </w:tcMar>
            <w:vAlign w:val="center"/>
            <w:hideMark/>
          </w:tcPr>
          <w:p w14:paraId="3DB7424C" w14:textId="77777777" w:rsidR="00BD63D4" w:rsidRPr="009E66F8" w:rsidRDefault="00BD63D4" w:rsidP="007533FC">
            <w:pPr>
              <w:spacing w:after="0"/>
              <w:rPr>
                <w:rFonts w:cstheme="minorHAnsi"/>
                <w:color w:val="000000" w:themeColor="text1"/>
                <w:lang w:eastAsia="en-GB"/>
              </w:rPr>
            </w:pPr>
          </w:p>
        </w:tc>
      </w:tr>
    </w:tbl>
    <w:p w14:paraId="0C37D5B3" w14:textId="77777777" w:rsidR="00BD63D4" w:rsidRPr="009E66F8" w:rsidRDefault="00BD63D4" w:rsidP="00BD63D4">
      <w:pPr>
        <w:spacing w:after="0" w:line="240" w:lineRule="auto"/>
        <w:contextualSpacing/>
        <w:jc w:val="both"/>
        <w:rPr>
          <w:rFonts w:eastAsia="Times New Roman" w:cstheme="minorHAnsi"/>
          <w:b/>
          <w:bCs/>
          <w:color w:val="000000" w:themeColor="text1"/>
          <w:lang w:eastAsia="en-GB"/>
        </w:rPr>
      </w:pPr>
    </w:p>
    <w:p w14:paraId="550DF750" w14:textId="5818BF66" w:rsidR="00BD63D4" w:rsidRPr="009E66F8" w:rsidRDefault="00BD63D4" w:rsidP="00BD63D4">
      <w:pPr>
        <w:spacing w:after="0" w:line="240" w:lineRule="auto"/>
        <w:contextualSpacing/>
        <w:jc w:val="both"/>
        <w:rPr>
          <w:rFonts w:eastAsia="Times New Roman" w:cstheme="minorHAnsi"/>
          <w:color w:val="000000" w:themeColor="text1"/>
          <w:lang w:eastAsia="en-GB"/>
        </w:rPr>
      </w:pPr>
      <w:r w:rsidRPr="009E66F8">
        <w:rPr>
          <w:rFonts w:eastAsia="Times New Roman" w:cstheme="minorHAnsi"/>
          <w:b/>
          <w:bCs/>
          <w:color w:val="000000" w:themeColor="text1"/>
          <w:lang w:eastAsia="en-GB"/>
        </w:rPr>
        <w:t xml:space="preserve">About Wheelsure </w:t>
      </w:r>
      <w:r w:rsidR="009C6626" w:rsidRPr="009E66F8">
        <w:rPr>
          <w:rFonts w:eastAsia="Times New Roman" w:cstheme="minorHAnsi"/>
          <w:b/>
          <w:bCs/>
          <w:color w:val="000000" w:themeColor="text1"/>
          <w:lang w:eastAsia="en-GB"/>
        </w:rPr>
        <w:t>Holdings</w:t>
      </w:r>
    </w:p>
    <w:p w14:paraId="13D59640" w14:textId="77777777" w:rsidR="00BD63D4" w:rsidRPr="009E66F8" w:rsidRDefault="00BD63D4" w:rsidP="00BD63D4">
      <w:pPr>
        <w:pStyle w:val="NoSpacing"/>
        <w:jc w:val="both"/>
        <w:rPr>
          <w:rFonts w:cstheme="minorHAnsi"/>
          <w:color w:val="000000" w:themeColor="text1"/>
        </w:rPr>
      </w:pPr>
      <w:r w:rsidRPr="009E66F8">
        <w:rPr>
          <w:rFonts w:eastAsia="Times New Roman" w:cstheme="minorHAnsi"/>
          <w:color w:val="000000" w:themeColor="text1"/>
          <w:lang w:eastAsia="en-GB"/>
        </w:rPr>
        <w:t>Wheelsure Holdings plc is a holding company for a Group which develops and commercialises innovative products that meet safety needs throughout the world.</w:t>
      </w:r>
    </w:p>
    <w:p w14:paraId="03F1D518" w14:textId="77777777" w:rsidR="002D113A" w:rsidRPr="00DA185E" w:rsidRDefault="002D113A">
      <w:pPr>
        <w:rPr>
          <w:rFonts w:cstheme="minorHAnsi"/>
          <w:color w:val="000000" w:themeColor="text1"/>
        </w:rPr>
      </w:pPr>
    </w:p>
    <w:sectPr w:rsidR="002D113A" w:rsidRPr="00DA1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3A"/>
    <w:rsid w:val="00102EB1"/>
    <w:rsid w:val="00162ABA"/>
    <w:rsid w:val="00191C46"/>
    <w:rsid w:val="00197519"/>
    <w:rsid w:val="001E0FFD"/>
    <w:rsid w:val="00275E67"/>
    <w:rsid w:val="002A0450"/>
    <w:rsid w:val="002D113A"/>
    <w:rsid w:val="00332012"/>
    <w:rsid w:val="00431E0F"/>
    <w:rsid w:val="004B617B"/>
    <w:rsid w:val="00631308"/>
    <w:rsid w:val="00654364"/>
    <w:rsid w:val="00736180"/>
    <w:rsid w:val="00743A2F"/>
    <w:rsid w:val="00743DB1"/>
    <w:rsid w:val="00763CA7"/>
    <w:rsid w:val="007E077E"/>
    <w:rsid w:val="00882CF5"/>
    <w:rsid w:val="008D595A"/>
    <w:rsid w:val="00917F61"/>
    <w:rsid w:val="00930119"/>
    <w:rsid w:val="009C6626"/>
    <w:rsid w:val="009E66F8"/>
    <w:rsid w:val="00B141D6"/>
    <w:rsid w:val="00BA11CA"/>
    <w:rsid w:val="00BD63D4"/>
    <w:rsid w:val="00C44D49"/>
    <w:rsid w:val="00CE5095"/>
    <w:rsid w:val="00CF4550"/>
    <w:rsid w:val="00DA185E"/>
    <w:rsid w:val="00DF6587"/>
    <w:rsid w:val="00E24987"/>
    <w:rsid w:val="00E37342"/>
    <w:rsid w:val="00E50F21"/>
    <w:rsid w:val="00E64180"/>
    <w:rsid w:val="00E933BA"/>
    <w:rsid w:val="00EE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1A7"/>
  <w15:chartTrackingRefBased/>
  <w15:docId w15:val="{7C2E75B3-5058-47BA-9269-CB820CBD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3D4"/>
    <w:pPr>
      <w:spacing w:after="0" w:line="240" w:lineRule="auto"/>
    </w:pPr>
  </w:style>
  <w:style w:type="paragraph" w:styleId="BalloonText">
    <w:name w:val="Balloon Text"/>
    <w:basedOn w:val="Normal"/>
    <w:link w:val="BalloonTextChar"/>
    <w:uiPriority w:val="99"/>
    <w:semiHidden/>
    <w:unhideWhenUsed/>
    <w:rsid w:val="00EE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E646C66262F408A3EC267F99A31F1" ma:contentTypeVersion="10" ma:contentTypeDescription="Create a new document." ma:contentTypeScope="" ma:versionID="7822be72c08652a326ce60f7e2998346">
  <xsd:schema xmlns:xsd="http://www.w3.org/2001/XMLSchema" xmlns:xs="http://www.w3.org/2001/XMLSchema" xmlns:p="http://schemas.microsoft.com/office/2006/metadata/properties" xmlns:ns3="4251a4e3-5b1b-442d-81bf-43ee66436e39" targetNamespace="http://schemas.microsoft.com/office/2006/metadata/properties" ma:root="true" ma:fieldsID="68c591fc7e514c3a94ac1a109dbdfdb8" ns3:_="">
    <xsd:import namespace="4251a4e3-5b1b-442d-81bf-43ee66436e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1a4e3-5b1b-442d-81bf-43ee66436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55E9-DC68-4784-8439-388DDB7703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51a4e3-5b1b-442d-81bf-43ee66436e39"/>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72A1C3-1E4D-4697-B62C-BDF8F075EBEC}">
  <ds:schemaRefs>
    <ds:schemaRef ds:uri="http://schemas.microsoft.com/sharepoint/v3/contenttype/forms"/>
  </ds:schemaRefs>
</ds:datastoreItem>
</file>

<file path=customXml/itemProps3.xml><?xml version="1.0" encoding="utf-8"?>
<ds:datastoreItem xmlns:ds="http://schemas.openxmlformats.org/officeDocument/2006/customXml" ds:itemID="{382F31D2-92DE-4354-8004-6572757C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1a4e3-5b1b-442d-81bf-43ee66436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Rawlinson</dc:creator>
  <cp:keywords/>
  <dc:description/>
  <cp:lastModifiedBy>Eleanor</cp:lastModifiedBy>
  <cp:revision>2</cp:revision>
  <dcterms:created xsi:type="dcterms:W3CDTF">2020-03-10T09:48:00Z</dcterms:created>
  <dcterms:modified xsi:type="dcterms:W3CDTF">2020-03-10T09:48:00Z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0x010100344E646C66262F408A3EC267F99A31F1</vt:lpwstr>
  </property>
</Properties>
</file>